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E12" w:rsidRPr="001F3E12" w:rsidRDefault="001F3E12" w:rsidP="001F3E12">
      <w:pPr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МУНИЦИПАЛЬНОЕ ОБРАЗОВАНИЕ «КАРГАСОКСКИЙ РАЙОН»</w:t>
      </w:r>
    </w:p>
    <w:p w:rsidR="001F3E12" w:rsidRPr="001F3E12" w:rsidRDefault="001F3E12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УПРАВЛЕНИЕ ОБРАЗОВАНИЯ, ОПЕКИ И ПОПЕЧИТЕЛЬСТВА</w:t>
      </w:r>
    </w:p>
    <w:p w:rsidR="001F3E12" w:rsidRPr="001F3E12" w:rsidRDefault="001F3E12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Муниципальное казённое общеобразовательное учреждение</w:t>
      </w:r>
    </w:p>
    <w:p w:rsidR="001F3E12" w:rsidRPr="001F3E12" w:rsidRDefault="001F3E12" w:rsidP="001F3E12">
      <w:pPr>
        <w:tabs>
          <w:tab w:val="left" w:pos="7720"/>
        </w:tabs>
        <w:spacing w:before="0" w:beforeAutospacing="0" w:after="0" w:afterAutospacing="0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636714 Томская область Каргасокский район село Новоюгино ул. Центральная № 74</w:t>
      </w:r>
    </w:p>
    <w:p w:rsidR="001F3E12" w:rsidRPr="001F3E12" w:rsidRDefault="001F3E12" w:rsidP="001F3E12">
      <w:pPr>
        <w:tabs>
          <w:tab w:val="left" w:pos="7720"/>
        </w:tabs>
        <w:spacing w:before="0" w:beforeAutospacing="0" w:after="0" w:afterAutospacing="0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4"/>
          <w:u w:val="single"/>
          <w:lang w:val="ru-RU" w:eastAsia="ru-RU"/>
        </w:rPr>
      </w:pP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Телефон 37</w:t>
      </w: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-1- 40 –директор /Факс 37-1-40 / </w:t>
      </w:r>
      <w:r w:rsidRPr="001F3E12">
        <w:rPr>
          <w:rFonts w:ascii="Times New Roman" w:eastAsia="Times New Roman" w:hAnsi="Times New Roman" w:cs="Times New Roman"/>
          <w:sz w:val="20"/>
          <w:szCs w:val="24"/>
          <w:lang w:eastAsia="ru-RU"/>
        </w:rPr>
        <w:t>E</w:t>
      </w: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-</w:t>
      </w:r>
      <w:r w:rsidRPr="001F3E12">
        <w:rPr>
          <w:rFonts w:ascii="Times New Roman" w:eastAsia="Times New Roman" w:hAnsi="Times New Roman" w:cs="Times New Roman"/>
          <w:sz w:val="20"/>
          <w:szCs w:val="24"/>
          <w:lang w:eastAsia="ru-RU"/>
        </w:rPr>
        <w:t>mail</w:t>
      </w:r>
      <w:r w:rsidRPr="001F3E12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novougino@yandex.ru</w:t>
      </w:r>
    </w:p>
    <w:p w:rsidR="001F3E12" w:rsidRDefault="001F3E12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1F3E12" w:rsidRDefault="001F3E12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454903" w:rsidRDefault="00454903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454903" w:rsidRDefault="00454903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454903" w:rsidRDefault="00454903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454903" w:rsidRDefault="00454903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350AD1" w:rsidRDefault="00350AD1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350AD1" w:rsidRDefault="00350AD1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350AD1" w:rsidRDefault="00350AD1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:rsidR="001F3E12" w:rsidRPr="00454903" w:rsidRDefault="001F3E12" w:rsidP="001F3E12">
      <w:pPr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454903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План работы </w:t>
      </w:r>
      <w:r w:rsidRPr="001F3E12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школьного методического объединения (далее – </w:t>
      </w:r>
      <w:r w:rsidR="00454903" w:rsidRPr="00454903">
        <w:rPr>
          <w:rFonts w:ascii="Times New Roman" w:eastAsia="Times New Roman" w:hAnsi="Times New Roman" w:cs="Times New Roman"/>
          <w:b/>
          <w:sz w:val="28"/>
          <w:lang w:val="ru-RU" w:eastAsia="ru-RU"/>
        </w:rPr>
        <w:t>Ш</w:t>
      </w:r>
      <w:r w:rsidRPr="001F3E12">
        <w:rPr>
          <w:rFonts w:ascii="Times New Roman" w:eastAsia="Times New Roman" w:hAnsi="Times New Roman" w:cs="Times New Roman"/>
          <w:b/>
          <w:sz w:val="28"/>
          <w:lang w:val="ru-RU" w:eastAsia="ru-RU"/>
        </w:rPr>
        <w:t>МО)</w:t>
      </w:r>
      <w:r w:rsidRPr="00454903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 </w:t>
      </w:r>
      <w:r w:rsidRPr="001F3E12">
        <w:rPr>
          <w:rFonts w:ascii="Times New Roman" w:eastAsia="Times New Roman" w:hAnsi="Times New Roman" w:cs="Times New Roman"/>
          <w:b/>
          <w:sz w:val="28"/>
          <w:lang w:val="ru-RU" w:eastAsia="ru-RU"/>
        </w:rPr>
        <w:t>учителей-предметников, реализующих программы ООО и СОО</w:t>
      </w:r>
      <w:r w:rsidRPr="00454903">
        <w:rPr>
          <w:rFonts w:ascii="Times New Roman" w:eastAsia="Times New Roman" w:hAnsi="Times New Roman" w:cs="Times New Roman"/>
          <w:b/>
          <w:sz w:val="28"/>
          <w:lang w:val="ru-RU" w:eastAsia="ru-RU"/>
        </w:rPr>
        <w:t xml:space="preserve"> на 2023-2024 учебный год</w:t>
      </w:r>
    </w:p>
    <w:p w:rsidR="00454903" w:rsidRDefault="00454903" w:rsidP="00454903">
      <w:pPr>
        <w:widowControl w:val="0"/>
        <w:autoSpaceDE w:val="0"/>
        <w:autoSpaceDN w:val="0"/>
        <w:spacing w:before="0" w:beforeAutospacing="0" w:after="0" w:afterAutospacing="0" w:line="360" w:lineRule="auto"/>
        <w:ind w:right="80"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454903">
      <w:pPr>
        <w:widowControl w:val="0"/>
        <w:autoSpaceDE w:val="0"/>
        <w:autoSpaceDN w:val="0"/>
        <w:spacing w:before="0" w:beforeAutospacing="0" w:after="0" w:afterAutospacing="0" w:line="360" w:lineRule="auto"/>
        <w:ind w:right="80"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80"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54903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Методическая тема: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«Использование педагогических образовательных технологий, способствующих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повышению качества образования в условиях реализации ФГОС третьего поколения».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54903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Цель: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профессиональной компетенции педагогов через проектирование уроков в соответствии с требованиями ФГОС третьего поколения, применение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образовательном процессе современных образовательных технологий обучения.</w:t>
      </w:r>
    </w:p>
    <w:p w:rsidR="00350AD1" w:rsidRPr="00454903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4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Задачи:</w:t>
      </w:r>
    </w:p>
    <w:p w:rsid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качественные условия для реализации ФГОС третьего поколения в образовательном процессе;</w:t>
      </w:r>
    </w:p>
    <w:p w:rsid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по совершенствованию педагогического мастерства учителей, 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профессионального уровня через активное участие в работе ШМО, практических семинаров, педагогических конкурсов;</w:t>
      </w:r>
    </w:p>
    <w:p w:rsidR="00350AD1" w:rsidRP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по формированию и развитию функциональной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обучающихся;</w:t>
      </w:r>
    </w:p>
    <w:p w:rsidR="00454903" w:rsidRP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 качество современного урока, повышать его эффективность и</w:t>
      </w:r>
    </w:p>
    <w:p w:rsid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направленность на сохранение здоровья обучающихся и формирование жизненных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компетенций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с одаренными детьми и организовать целенаправленную работу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со слабоуспевающими обучающимися через индивидуальные задания; совершенствовать внеурочную деятельность согласно обновленным требованиям ФГОС;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 организацию системной подготовки к ОГЭ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ЕГЭ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повышать результативность работы по самообразованию учителей;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4903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по повышению качества знаний обучающихся через использование активных методов, приемов, а также инновационных технологий обучения и воспитания.</w:t>
      </w:r>
    </w:p>
    <w:p w:rsidR="00350AD1" w:rsidRPr="00454903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50AD1" w:rsidRDefault="00454903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54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Формы методической работы: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тематические педсоветы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методические объединения;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предметные и творческие объединения учителей;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учителей по темам самообразования; творческие отчеты;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открытые уроки; предметные недели; семинары;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работы с одаренными обучающимися;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0AD1">
        <w:rPr>
          <w:color w:val="000000"/>
          <w:lang w:val="ru-RU"/>
        </w:rPr>
        <w:t>‒</w:t>
      </w:r>
      <w:r>
        <w:rPr>
          <w:color w:val="000000"/>
          <w:lang w:val="ru-RU"/>
        </w:rPr>
        <w:t xml:space="preserve"> </w:t>
      </w:r>
      <w:r w:rsidR="00454903" w:rsidRPr="00454903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и контроль повышения квалификации и аттестации педагогических работников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Методическая работа учителей-предметников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2023-2024 учебном году </w:t>
      </w:r>
      <w:r w:rsidRPr="00350A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организована согласно направлениям: </w:t>
      </w:r>
    </w:p>
    <w:p w:rsidR="00350AD1" w:rsidRPr="00350AD1" w:rsidRDefault="00350AD1" w:rsidP="00350AD1">
      <w:pPr>
        <w:widowControl w:val="0"/>
        <w:autoSpaceDE w:val="0"/>
        <w:autoSpaceDN w:val="0"/>
        <w:spacing w:before="0" w:beforeAutospacing="0" w:after="0" w:afterAutospacing="0"/>
        <w:ind w:right="7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50AD1" w:rsidRPr="00350AD1" w:rsidRDefault="00350AD1" w:rsidP="00350AD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944"/>
        <w:gridCol w:w="3362"/>
        <w:gridCol w:w="3187"/>
      </w:tblGrid>
      <w:tr w:rsidR="00350AD1" w:rsidRPr="00350AD1" w:rsidTr="00FD36CA">
        <w:trPr>
          <w:jc w:val="center"/>
        </w:trPr>
        <w:tc>
          <w:tcPr>
            <w:tcW w:w="2944" w:type="dxa"/>
            <w:vMerge w:val="restart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Секция ШМО гуманитарного направления</w:t>
            </w: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Проскурякова Дарья Сергеевна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русского языка и литературы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Шамне Сергей Владимирович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русского языка и литературы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Шибкова Юлия Витальевна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русского языка и литературы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Купрякова Анастасия Андреевна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истории, обществознания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Байгулова Ольга Владимировна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английского языка</w:t>
            </w:r>
          </w:p>
        </w:tc>
      </w:tr>
      <w:tr w:rsidR="00350AD1" w:rsidRPr="00350AD1" w:rsidTr="00FD36CA">
        <w:trPr>
          <w:jc w:val="center"/>
        </w:trPr>
        <w:tc>
          <w:tcPr>
            <w:tcW w:w="9493" w:type="dxa"/>
            <w:gridSpan w:val="3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 w:val="restart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Секция ШМО</w:t>
            </w:r>
          </w:p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естественно-научного направления</w:t>
            </w: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Картерьева Ольга Васильевна</w:t>
            </w:r>
          </w:p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биология и химии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Веклич Дарья Викторовна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географии</w:t>
            </w:r>
          </w:p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350AD1" w:rsidRPr="00350AD1" w:rsidTr="00FD36CA">
        <w:trPr>
          <w:jc w:val="center"/>
        </w:trPr>
        <w:tc>
          <w:tcPr>
            <w:tcW w:w="9493" w:type="dxa"/>
            <w:gridSpan w:val="3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 w:val="restart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Секция ШМО физико-математического</w:t>
            </w:r>
          </w:p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направления</w:t>
            </w:r>
          </w:p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Граф Ирина Викторовна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математики и физики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Митрофанов Фёдор Григорьевич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математики и информатики</w:t>
            </w:r>
          </w:p>
        </w:tc>
      </w:tr>
      <w:tr w:rsidR="00350AD1" w:rsidRPr="00350AD1" w:rsidTr="00FD36CA">
        <w:trPr>
          <w:jc w:val="center"/>
        </w:trPr>
        <w:tc>
          <w:tcPr>
            <w:tcW w:w="9493" w:type="dxa"/>
            <w:gridSpan w:val="3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 w:val="restart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Секция ШМО оздоровительного и здорововьесберегающего направления</w:t>
            </w: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Ванчугов Василий Михайлович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физкультуры</w:t>
            </w:r>
          </w:p>
        </w:tc>
      </w:tr>
      <w:tr w:rsidR="00350AD1" w:rsidRPr="00350AD1" w:rsidTr="00FD36CA">
        <w:trPr>
          <w:jc w:val="center"/>
        </w:trPr>
        <w:tc>
          <w:tcPr>
            <w:tcW w:w="2944" w:type="dxa"/>
            <w:vMerge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3362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Смахтин Александр Николаевич</w:t>
            </w:r>
          </w:p>
        </w:tc>
        <w:tc>
          <w:tcPr>
            <w:tcW w:w="3187" w:type="dxa"/>
          </w:tcPr>
          <w:p w:rsidR="00350AD1" w:rsidRPr="00350AD1" w:rsidRDefault="00350AD1" w:rsidP="00350AD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физкультуры и ОБЖ</w:t>
            </w:r>
          </w:p>
        </w:tc>
      </w:tr>
    </w:tbl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  <w:sectPr w:rsidR="00350A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tbl>
      <w:tblPr>
        <w:tblStyle w:val="a3"/>
        <w:tblW w:w="13603" w:type="dxa"/>
        <w:jc w:val="center"/>
        <w:tblLook w:val="04A0" w:firstRow="1" w:lastRow="0" w:firstColumn="1" w:lastColumn="0" w:noHBand="0" w:noVBand="1"/>
      </w:tblPr>
      <w:tblGrid>
        <w:gridCol w:w="820"/>
        <w:gridCol w:w="7680"/>
        <w:gridCol w:w="5103"/>
      </w:tblGrid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№ п/п</w:t>
            </w:r>
          </w:p>
        </w:tc>
        <w:tc>
          <w:tcPr>
            <w:tcW w:w="768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Мероприятие</w:t>
            </w:r>
          </w:p>
        </w:tc>
        <w:tc>
          <w:tcPr>
            <w:tcW w:w="5103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Ответственный</w:t>
            </w:r>
          </w:p>
        </w:tc>
      </w:tr>
      <w:tr w:rsidR="00324406" w:rsidTr="00E93953">
        <w:trPr>
          <w:jc w:val="center"/>
        </w:trPr>
        <w:tc>
          <w:tcPr>
            <w:tcW w:w="13603" w:type="dxa"/>
            <w:gridSpan w:val="3"/>
          </w:tcPr>
          <w:p w:rsidR="00324406" w:rsidRDefault="00324406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  <w:p w:rsidR="00324406" w:rsidRDefault="00324406" w:rsidP="008504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(</w:t>
            </w:r>
            <w:r w:rsidR="003E3459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вгуст)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1</w:t>
            </w:r>
          </w:p>
        </w:tc>
        <w:tc>
          <w:tcPr>
            <w:tcW w:w="7680" w:type="dxa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Участие в августовском педагогическом совете</w:t>
            </w:r>
          </w:p>
          <w:p w:rsidR="00E93953" w:rsidRPr="00324406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5103" w:type="dxa"/>
            <w:vMerge w:val="restart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Проскурякова Д.С., руководитель ШМО учител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й-предм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тников</w:t>
            </w:r>
          </w:p>
          <w:p w:rsidR="00E93953" w:rsidRDefault="00E93953" w:rsidP="00324406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Учителя-предметники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2</w:t>
            </w:r>
          </w:p>
        </w:tc>
        <w:tc>
          <w:tcPr>
            <w:tcW w:w="7680" w:type="dxa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Анализ итогов работы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организации за 2022-2022 учебный год 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целеполагание на 2023-2024 учебный год</w:t>
            </w:r>
            <w:bookmarkStart w:id="0" w:name="_GoBack"/>
            <w:bookmarkEnd w:id="0"/>
          </w:p>
        </w:tc>
        <w:tc>
          <w:tcPr>
            <w:tcW w:w="5103" w:type="dxa"/>
            <w:vMerge/>
          </w:tcPr>
          <w:p w:rsidR="00E93953" w:rsidRDefault="00E93953" w:rsidP="00324406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3</w:t>
            </w:r>
          </w:p>
        </w:tc>
        <w:tc>
          <w:tcPr>
            <w:tcW w:w="7680" w:type="dxa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Согласование плана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ШМО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2023-2024 учебный год</w:t>
            </w:r>
          </w:p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5103" w:type="dxa"/>
            <w:vMerge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4</w:t>
            </w:r>
          </w:p>
        </w:tc>
        <w:tc>
          <w:tcPr>
            <w:tcW w:w="7680" w:type="dxa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Разработка плана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проведения открытых уроков, </w:t>
            </w: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взаимопосещения уроков на 2023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-20</w:t>
            </w: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24 учебный год</w:t>
            </w:r>
          </w:p>
        </w:tc>
        <w:tc>
          <w:tcPr>
            <w:tcW w:w="5103" w:type="dxa"/>
            <w:vMerge/>
          </w:tcPr>
          <w:p w:rsidR="00E93953" w:rsidRPr="00324406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5</w:t>
            </w:r>
          </w:p>
        </w:tc>
        <w:tc>
          <w:tcPr>
            <w:tcW w:w="7680" w:type="dxa"/>
          </w:tcPr>
          <w:p w:rsidR="00E93953" w:rsidRPr="00324406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9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5103" w:type="dxa"/>
            <w:vMerge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6</w:t>
            </w:r>
          </w:p>
        </w:tc>
        <w:tc>
          <w:tcPr>
            <w:tcW w:w="7680" w:type="dxa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Методический семинар «Новый порядок аттестации педагогов»</w:t>
            </w:r>
          </w:p>
          <w:p w:rsidR="00E93953" w:rsidRPr="00324406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5103" w:type="dxa"/>
          </w:tcPr>
          <w:p w:rsidR="00E93953" w:rsidRDefault="00E93953" w:rsidP="0032440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Караулова О.А., заместитель директора по УВР</w:t>
            </w:r>
          </w:p>
        </w:tc>
      </w:tr>
      <w:tr w:rsidR="00350AD1" w:rsidTr="00E93953">
        <w:trPr>
          <w:jc w:val="center"/>
        </w:trPr>
        <w:tc>
          <w:tcPr>
            <w:tcW w:w="13603" w:type="dxa"/>
            <w:gridSpan w:val="3"/>
          </w:tcPr>
          <w:p w:rsidR="00350AD1" w:rsidRDefault="00350AD1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  <w:p w:rsidR="00350AD1" w:rsidRDefault="00350AD1" w:rsidP="008504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учебная четверть (октябрь)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Pr="0045490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680" w:type="dxa"/>
          </w:tcPr>
          <w:p w:rsidR="00E93953" w:rsidRPr="00E93953" w:rsidRDefault="0023115D" w:rsidP="00FD36C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Предметная неделя</w:t>
            </w:r>
            <w:r w:rsidRPr="00E93953">
              <w:rPr>
                <w:lang w:val="ru-RU"/>
              </w:rPr>
              <w:t xml:space="preserve"> с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екции ШМО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естественно-научного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направления по учебным предметам «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Биология» и «География»</w:t>
            </w:r>
          </w:p>
        </w:tc>
        <w:tc>
          <w:tcPr>
            <w:tcW w:w="5103" w:type="dxa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Веклич Д.В., учитель географии</w:t>
            </w:r>
          </w:p>
          <w:p w:rsidR="00E93953" w:rsidRPr="00350AD1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Картерьева О.В., учитель биологии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Pr="0045490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680" w:type="dxa"/>
          </w:tcPr>
          <w:p w:rsidR="00E93953" w:rsidRPr="00E93953" w:rsidRDefault="0023115D" w:rsidP="00E939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5103" w:type="dxa"/>
          </w:tcPr>
          <w:p w:rsidR="00E93953" w:rsidRDefault="0023115D" w:rsidP="00E939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Проскурякова Д.С.,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680" w:type="dxa"/>
          </w:tcPr>
          <w:p w:rsidR="0023115D" w:rsidRPr="00350AD1" w:rsidRDefault="0023115D" w:rsidP="00350AD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Заседание «Формирование функциональной грамотности как условие повы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ения качества образовательных результатов»</w:t>
            </w:r>
          </w:p>
        </w:tc>
        <w:tc>
          <w:tcPr>
            <w:tcW w:w="5103" w:type="dxa"/>
            <w:vMerge w:val="restart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Проскурякова Д.С., руководитель ШМО учител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й-предм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тников</w:t>
            </w: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Учителя-предметники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680" w:type="dxa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5103" w:type="dxa"/>
            <w:vMerge/>
          </w:tcPr>
          <w:p w:rsidR="0023115D" w:rsidRDefault="0023115D" w:rsidP="0023115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Pr="008504B7" w:rsidRDefault="008504B7" w:rsidP="00E9395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5</w:t>
            </w:r>
          </w:p>
        </w:tc>
        <w:tc>
          <w:tcPr>
            <w:tcW w:w="7680" w:type="dxa"/>
          </w:tcPr>
          <w:p w:rsidR="00E93953" w:rsidRDefault="00E93953" w:rsidP="00E939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Анализ п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роведение школьного этапа Всероссийской олимпиады школьников</w:t>
            </w:r>
          </w:p>
        </w:tc>
        <w:tc>
          <w:tcPr>
            <w:tcW w:w="5103" w:type="dxa"/>
          </w:tcPr>
          <w:p w:rsidR="00E93953" w:rsidRPr="00E93953" w:rsidRDefault="00E93953" w:rsidP="00E939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Проскурякова Д.С.,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350AD1" w:rsidTr="00E93953">
        <w:trPr>
          <w:jc w:val="center"/>
        </w:trPr>
        <w:tc>
          <w:tcPr>
            <w:tcW w:w="13603" w:type="dxa"/>
            <w:gridSpan w:val="3"/>
          </w:tcPr>
          <w:p w:rsidR="00350AD1" w:rsidRDefault="00350AD1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  <w:p w:rsidR="00350AD1" w:rsidRDefault="00350AD1" w:rsidP="008504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учебная четверть (декабрь)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Pr="0045490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7680" w:type="dxa"/>
          </w:tcPr>
          <w:p w:rsidR="00E93953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Предметная неделя</w:t>
            </w:r>
            <w:r w:rsidRPr="00E93953">
              <w:rPr>
                <w:lang w:val="ru-RU"/>
              </w:rPr>
              <w:t xml:space="preserve"> с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екции ШМО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гуманитарного 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направления по учебным предметам «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Русский язык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и «Литература»; «История» и «Обществознание»</w:t>
            </w: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5103" w:type="dxa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Шамне С.В., учитель русского языка и литературы</w:t>
            </w: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Шибкова Ю.В.,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учитель русского языка и литературы</w:t>
            </w:r>
          </w:p>
          <w:p w:rsidR="00E93953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Купрякова А.А., учитель истории и обществознания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23115D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2</w:t>
            </w:r>
          </w:p>
        </w:tc>
        <w:tc>
          <w:tcPr>
            <w:tcW w:w="7680" w:type="dxa"/>
          </w:tcPr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Организация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5103" w:type="dxa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24406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Караулова О.А., заместитель директора по УВР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23115D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3</w:t>
            </w:r>
          </w:p>
        </w:tc>
        <w:tc>
          <w:tcPr>
            <w:tcW w:w="7680" w:type="dxa"/>
          </w:tcPr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Организация тренировочных и диагностических работ для подготовки к ГИА</w:t>
            </w:r>
          </w:p>
        </w:tc>
        <w:tc>
          <w:tcPr>
            <w:tcW w:w="5103" w:type="dxa"/>
            <w:vMerge w:val="restart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Проскурякова Д.С., руководитель ШМО учител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й-предм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тников</w:t>
            </w: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  <w:p w:rsidR="0023115D" w:rsidRDefault="0023115D" w:rsidP="0023115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Учителя-предметники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680" w:type="dxa"/>
          </w:tcPr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Анализ индивидуальных образовательных траекторий для обучающихся группы риска и высокомотивированных обучающихся</w:t>
            </w:r>
          </w:p>
        </w:tc>
        <w:tc>
          <w:tcPr>
            <w:tcW w:w="5103" w:type="dxa"/>
            <w:vMerge/>
          </w:tcPr>
          <w:p w:rsidR="0023115D" w:rsidRDefault="0023115D" w:rsidP="0023115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7680" w:type="dxa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Методический марафон: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проведение открытых </w:t>
            </w: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уроков</w:t>
            </w:r>
          </w:p>
          <w:p w:rsidR="0023115D" w:rsidRDefault="0023115D" w:rsidP="009475E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5103" w:type="dxa"/>
            <w:vMerge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350AD1" w:rsidTr="00E93953">
        <w:trPr>
          <w:jc w:val="center"/>
        </w:trPr>
        <w:tc>
          <w:tcPr>
            <w:tcW w:w="13603" w:type="dxa"/>
            <w:gridSpan w:val="3"/>
          </w:tcPr>
          <w:p w:rsidR="00350AD1" w:rsidRDefault="00350AD1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  <w:p w:rsidR="00350AD1" w:rsidRDefault="00350AD1" w:rsidP="008504B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 xml:space="preserve"> учебная четверть (март)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Pr="0045490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680" w:type="dxa"/>
          </w:tcPr>
          <w:p w:rsidR="00E9395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Предметная неделя</w:t>
            </w:r>
            <w:r w:rsidRPr="00E93953">
              <w:rPr>
                <w:lang w:val="ru-RU"/>
              </w:rPr>
              <w:t xml:space="preserve"> с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екции ШМО 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оздоровительного и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здорововьесберегающего направления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 учебно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му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предмет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 «Физкультура»</w:t>
            </w:r>
          </w:p>
        </w:tc>
        <w:tc>
          <w:tcPr>
            <w:tcW w:w="5103" w:type="dxa"/>
          </w:tcPr>
          <w:p w:rsidR="00E93953" w:rsidRP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Ванчугов В.М., учитель физкультуры</w:t>
            </w:r>
          </w:p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Смахтин А.Н., учитель физкультуры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680" w:type="dxa"/>
          </w:tcPr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Участие в мастер-классах «Интерактивные формы организации учебной деятельности на уроке»</w:t>
            </w:r>
          </w:p>
        </w:tc>
        <w:tc>
          <w:tcPr>
            <w:tcW w:w="5103" w:type="dxa"/>
            <w:vMerge w:val="restart"/>
          </w:tcPr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Проскурякова Д.С., руководитель ШМО учител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й-предм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тников</w:t>
            </w: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  <w:p w:rsid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Учителя-предметники</w:t>
            </w: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680" w:type="dxa"/>
          </w:tcPr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Организация проведения ВПР по графику, составленному с учетом расписания, направленного приказом Рособрнадзора</w:t>
            </w:r>
          </w:p>
        </w:tc>
        <w:tc>
          <w:tcPr>
            <w:tcW w:w="5103" w:type="dxa"/>
            <w:vMerge/>
          </w:tcPr>
          <w:p w:rsidR="0023115D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680" w:type="dxa"/>
          </w:tcPr>
          <w:p w:rsidR="0023115D" w:rsidRPr="0023115D" w:rsidRDefault="0023115D" w:rsidP="0023115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Контроль подготовки высокомотивированных обучающихся к ГИА по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основным и выбранным учебным предметам </w:t>
            </w:r>
          </w:p>
        </w:tc>
        <w:tc>
          <w:tcPr>
            <w:tcW w:w="5103" w:type="dxa"/>
            <w:vMerge/>
          </w:tcPr>
          <w:p w:rsidR="0023115D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23115D" w:rsidTr="0023115D">
        <w:trPr>
          <w:jc w:val="center"/>
        </w:trPr>
        <w:tc>
          <w:tcPr>
            <w:tcW w:w="820" w:type="dxa"/>
          </w:tcPr>
          <w:p w:rsidR="0023115D" w:rsidRPr="00454903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7680" w:type="dxa"/>
          </w:tcPr>
          <w:p w:rsidR="0023115D" w:rsidRDefault="0023115D" w:rsidP="009475E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Методический марафон: </w:t>
            </w:r>
            <w:proofErr w:type="spellStart"/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взаимопосещение</w:t>
            </w:r>
            <w:proofErr w:type="spellEnd"/>
            <w:r w:rsidRPr="0023115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уроков</w:t>
            </w:r>
          </w:p>
          <w:p w:rsidR="0023115D" w:rsidRPr="002F3D23" w:rsidRDefault="0023115D" w:rsidP="009475E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5103" w:type="dxa"/>
            <w:vMerge/>
          </w:tcPr>
          <w:p w:rsidR="0023115D" w:rsidRDefault="0023115D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350AD1" w:rsidTr="00E93953">
        <w:trPr>
          <w:jc w:val="center"/>
        </w:trPr>
        <w:tc>
          <w:tcPr>
            <w:tcW w:w="13603" w:type="dxa"/>
            <w:gridSpan w:val="3"/>
          </w:tcPr>
          <w:p w:rsidR="00350AD1" w:rsidRDefault="00350AD1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  <w:p w:rsidR="00350AD1" w:rsidRDefault="00350AD1" w:rsidP="002F3D2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учебная четверть (м</w:t>
            </w:r>
            <w:r w:rsidR="002F3D23"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)</w:t>
            </w:r>
          </w:p>
        </w:tc>
      </w:tr>
      <w:tr w:rsidR="00E93953" w:rsidTr="0023115D">
        <w:trPr>
          <w:jc w:val="center"/>
        </w:trPr>
        <w:tc>
          <w:tcPr>
            <w:tcW w:w="820" w:type="dxa"/>
          </w:tcPr>
          <w:p w:rsidR="00E93953" w:rsidRPr="00454903" w:rsidRDefault="00E9395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680" w:type="dxa"/>
          </w:tcPr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Предметная неделя</w:t>
            </w:r>
            <w:r w:rsidRPr="00E93953">
              <w:rPr>
                <w:lang w:val="ru-RU"/>
              </w:rPr>
              <w:t xml:space="preserve"> с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екции ШМО 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физико-математического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направления</w:t>
            </w:r>
          </w:p>
          <w:p w:rsidR="00E9395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 учебным предметам «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Математика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Физика</w:t>
            </w:r>
            <w:r w:rsidRPr="00E9395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»</w:t>
            </w:r>
          </w:p>
        </w:tc>
        <w:tc>
          <w:tcPr>
            <w:tcW w:w="5103" w:type="dxa"/>
          </w:tcPr>
          <w:p w:rsidR="00E93953" w:rsidRP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Граф И.В., учитель математики и физики</w:t>
            </w:r>
          </w:p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Митрофанов Ф.Г., учитель математики и информатики</w:t>
            </w:r>
          </w:p>
        </w:tc>
      </w:tr>
      <w:tr w:rsidR="002F3D23" w:rsidTr="0023115D">
        <w:trPr>
          <w:jc w:val="center"/>
        </w:trPr>
        <w:tc>
          <w:tcPr>
            <w:tcW w:w="820" w:type="dxa"/>
          </w:tcPr>
          <w:p w:rsidR="002F3D23" w:rsidRPr="0045490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7680" w:type="dxa"/>
          </w:tcPr>
          <w:p w:rsidR="002F3D23" w:rsidRP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Заседание ШМО «Итоги ВПР-2024. Подготовка к промежуточной аттестации, ГИА-2024»</w:t>
            </w:r>
          </w:p>
        </w:tc>
        <w:tc>
          <w:tcPr>
            <w:tcW w:w="5103" w:type="dxa"/>
            <w:vMerge w:val="restart"/>
          </w:tcPr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Проскурякова Д.С., руководитель ШМО учител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й-предм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</w:t>
            </w:r>
            <w:r w:rsidRPr="00350AD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тников</w:t>
            </w:r>
          </w:p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Учителя-предметники</w:t>
            </w:r>
          </w:p>
        </w:tc>
      </w:tr>
      <w:tr w:rsidR="002F3D23" w:rsidTr="0023115D">
        <w:trPr>
          <w:jc w:val="center"/>
        </w:trPr>
        <w:tc>
          <w:tcPr>
            <w:tcW w:w="820" w:type="dxa"/>
          </w:tcPr>
          <w:p w:rsidR="002F3D23" w:rsidRPr="0045490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680" w:type="dxa"/>
          </w:tcPr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Участие в подготовке и проведении педагогических советов «О допуске к ГИА обучающихся 9-х, 11-х классов», «О переводе обучающихся 1–8-х, 10-х классов в следующий класс»</w:t>
            </w:r>
          </w:p>
        </w:tc>
        <w:tc>
          <w:tcPr>
            <w:tcW w:w="5103" w:type="dxa"/>
            <w:vMerge/>
          </w:tcPr>
          <w:p w:rsidR="002F3D2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2F3D23" w:rsidTr="0023115D">
        <w:trPr>
          <w:jc w:val="center"/>
        </w:trPr>
        <w:tc>
          <w:tcPr>
            <w:tcW w:w="820" w:type="dxa"/>
          </w:tcPr>
          <w:p w:rsidR="002F3D23" w:rsidRPr="002F3D2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4</w:t>
            </w:r>
          </w:p>
        </w:tc>
        <w:tc>
          <w:tcPr>
            <w:tcW w:w="7680" w:type="dxa"/>
          </w:tcPr>
          <w:p w:rsidR="002F3D23" w:rsidRP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Заседание ШМО «Итоги реализации ООП в 2023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-2024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учебном году»</w:t>
            </w:r>
          </w:p>
          <w:p w:rsid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5103" w:type="dxa"/>
            <w:vMerge/>
          </w:tcPr>
          <w:p w:rsidR="002F3D2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  <w:tr w:rsidR="002F3D23" w:rsidTr="0023115D">
        <w:trPr>
          <w:jc w:val="center"/>
        </w:trPr>
        <w:tc>
          <w:tcPr>
            <w:tcW w:w="820" w:type="dxa"/>
          </w:tcPr>
          <w:p w:rsidR="002F3D23" w:rsidRPr="002F3D2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  <w:t>5</w:t>
            </w:r>
          </w:p>
        </w:tc>
        <w:tc>
          <w:tcPr>
            <w:tcW w:w="7680" w:type="dxa"/>
          </w:tcPr>
          <w:p w:rsidR="002F3D23" w:rsidRPr="002F3D23" w:rsidRDefault="002F3D23" w:rsidP="002F3D2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Анализ методической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ШМО 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-предметников 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3-20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4</w:t>
            </w:r>
            <w:r w:rsidRPr="002F3D23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учебный год</w:t>
            </w:r>
          </w:p>
        </w:tc>
        <w:tc>
          <w:tcPr>
            <w:tcW w:w="5103" w:type="dxa"/>
            <w:vMerge/>
          </w:tcPr>
          <w:p w:rsidR="002F3D23" w:rsidRDefault="002F3D23" w:rsidP="00FD36C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</w:tr>
    </w:tbl>
    <w:p w:rsidR="00350AD1" w:rsidRDefault="00350AD1" w:rsidP="00350AD1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lang w:val="ru-RU" w:eastAsia="ru-RU"/>
        </w:rPr>
        <w:sectPr w:rsidR="00350AD1" w:rsidSect="00350AD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3115D" w:rsidRPr="0023115D" w:rsidRDefault="0023115D" w:rsidP="0023115D">
      <w:pPr>
        <w:tabs>
          <w:tab w:val="left" w:pos="1869"/>
        </w:tabs>
        <w:rPr>
          <w:rFonts w:ascii="Times New Roman" w:eastAsia="Times New Roman" w:hAnsi="Times New Roman" w:cs="Times New Roman"/>
          <w:sz w:val="24"/>
          <w:lang w:val="ru-RU" w:eastAsia="ru-RU"/>
        </w:rPr>
        <w:sectPr w:rsidR="0023115D" w:rsidRPr="0023115D" w:rsidSect="00350AD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F3E12" w:rsidRPr="00BC1EC6" w:rsidRDefault="001F3E12">
      <w:pPr>
        <w:rPr>
          <w:lang w:val="ru-RU"/>
        </w:rPr>
      </w:pPr>
    </w:p>
    <w:sectPr w:rsidR="001F3E12" w:rsidRPr="00BC1EC6" w:rsidSect="00350A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C6"/>
    <w:rsid w:val="001F3E12"/>
    <w:rsid w:val="0023115D"/>
    <w:rsid w:val="002F3D23"/>
    <w:rsid w:val="00324406"/>
    <w:rsid w:val="00350AD1"/>
    <w:rsid w:val="003E3459"/>
    <w:rsid w:val="00454903"/>
    <w:rsid w:val="008504B7"/>
    <w:rsid w:val="009475EF"/>
    <w:rsid w:val="00BC1EC6"/>
    <w:rsid w:val="00E9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A1B1"/>
  <w15:chartTrackingRefBased/>
  <w15:docId w15:val="{83A30621-68C1-4F36-95AC-48450B34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EC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2023-10-17T10:47:00Z</dcterms:created>
  <dcterms:modified xsi:type="dcterms:W3CDTF">2023-10-17T12:47:00Z</dcterms:modified>
</cp:coreProperties>
</file>